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6D1" w:rsidRDefault="00EF06D1" w:rsidP="00EF06D1">
      <w:pPr>
        <w:snapToGrid w:val="0"/>
        <w:jc w:val="center"/>
        <w:rPr>
          <w:b/>
        </w:rPr>
      </w:pPr>
      <w:r w:rsidRPr="00E0096B">
        <w:t>Limbažos</w:t>
      </w:r>
    </w:p>
    <w:p w:rsidR="00EF06D1" w:rsidRDefault="00EF06D1" w:rsidP="00FD4563">
      <w:pPr>
        <w:jc w:val="center"/>
        <w:rPr>
          <w:b/>
        </w:rPr>
      </w:pPr>
    </w:p>
    <w:p w:rsidR="00FD4563" w:rsidRPr="00E743CA" w:rsidRDefault="00FD4563" w:rsidP="00FD4563">
      <w:pPr>
        <w:jc w:val="center"/>
        <w:rPr>
          <w:b/>
        </w:rPr>
      </w:pPr>
      <w:r w:rsidRPr="00E743CA">
        <w:rPr>
          <w:b/>
        </w:rPr>
        <w:t>PASKAIDROJUMA RAKSTS</w:t>
      </w:r>
    </w:p>
    <w:p w:rsidR="00FD4563" w:rsidRPr="00E743CA" w:rsidRDefault="00FD4563" w:rsidP="00FD4563">
      <w:pPr>
        <w:snapToGrid w:val="0"/>
        <w:jc w:val="center"/>
      </w:pPr>
      <w:r w:rsidRPr="00E743CA">
        <w:t xml:space="preserve">2016.gada 28.janvāra saistošajiem noteikumiem </w:t>
      </w:r>
    </w:p>
    <w:p w:rsidR="00FD4563" w:rsidRPr="00E743CA" w:rsidRDefault="00FD4563" w:rsidP="00FD4563">
      <w:pPr>
        <w:snapToGrid w:val="0"/>
        <w:jc w:val="center"/>
      </w:pPr>
      <w:r w:rsidRPr="00E743CA">
        <w:t>Nr.4 „Grozījumi Limbažu novada pašvaldības 2009.gada 22.oktobra</w:t>
      </w:r>
    </w:p>
    <w:p w:rsidR="00FD4563" w:rsidRPr="00E743CA" w:rsidRDefault="00FD4563" w:rsidP="00FD4563">
      <w:pPr>
        <w:jc w:val="center"/>
      </w:pPr>
      <w:r w:rsidRPr="00E743CA">
        <w:t>saistošajos noteikumos Nr.85 „Kārtība, kādā Limbažu novada pašvaldība</w:t>
      </w:r>
    </w:p>
    <w:p w:rsidR="00FD4563" w:rsidRPr="00E743CA" w:rsidRDefault="00FD4563" w:rsidP="00FD4563">
      <w:pPr>
        <w:jc w:val="center"/>
      </w:pPr>
      <w:r w:rsidRPr="00E743CA">
        <w:t>sedz braukšanas izdevumus vispārējās pamatizglītības un</w:t>
      </w:r>
    </w:p>
    <w:p w:rsidR="00FD4563" w:rsidRPr="00E743CA" w:rsidRDefault="00FD4563" w:rsidP="00FD4563">
      <w:pPr>
        <w:jc w:val="center"/>
      </w:pPr>
      <w:r w:rsidRPr="00E743CA">
        <w:t>vidējās izglītības iestādēs izglītojamiem””</w:t>
      </w:r>
    </w:p>
    <w:p w:rsidR="00FD4563" w:rsidRPr="00E743CA" w:rsidRDefault="00FD4563" w:rsidP="00EF06D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946"/>
      </w:tblGrid>
      <w:tr w:rsidR="00FD4563" w:rsidRPr="00E743CA" w:rsidTr="008C4470">
        <w:trPr>
          <w:jc w:val="center"/>
        </w:trPr>
        <w:tc>
          <w:tcPr>
            <w:tcW w:w="2660" w:type="dxa"/>
            <w:tcBorders>
              <w:top w:val="single" w:sz="4" w:space="0" w:color="auto"/>
              <w:left w:val="single" w:sz="4" w:space="0" w:color="auto"/>
              <w:bottom w:val="single" w:sz="4" w:space="0" w:color="auto"/>
              <w:right w:val="single" w:sz="4" w:space="0" w:color="auto"/>
            </w:tcBorders>
            <w:vAlign w:val="center"/>
            <w:hideMark/>
          </w:tcPr>
          <w:p w:rsidR="00FD4563" w:rsidRPr="00E743CA" w:rsidRDefault="00FD4563" w:rsidP="008C4470">
            <w:pPr>
              <w:contextualSpacing/>
              <w:jc w:val="center"/>
              <w:rPr>
                <w:rFonts w:eastAsia="Calibri"/>
                <w:b/>
              </w:rPr>
            </w:pPr>
            <w:r w:rsidRPr="00E743CA">
              <w:rPr>
                <w:rFonts w:eastAsia="Calibri"/>
                <w:b/>
              </w:rPr>
              <w:t xml:space="preserve">Paskaidrojuma </w:t>
            </w:r>
          </w:p>
          <w:p w:rsidR="00FD4563" w:rsidRPr="00E743CA" w:rsidRDefault="00FD4563" w:rsidP="008C4470">
            <w:pPr>
              <w:contextualSpacing/>
              <w:jc w:val="center"/>
              <w:rPr>
                <w:rFonts w:eastAsia="Calibri"/>
                <w:b/>
              </w:rPr>
            </w:pPr>
            <w:r w:rsidRPr="00E743CA">
              <w:rPr>
                <w:rFonts w:eastAsia="Calibri"/>
                <w:b/>
              </w:rPr>
              <w:t>raksta sadaļas</w:t>
            </w:r>
          </w:p>
        </w:tc>
        <w:tc>
          <w:tcPr>
            <w:tcW w:w="6946" w:type="dxa"/>
            <w:tcBorders>
              <w:top w:val="single" w:sz="4" w:space="0" w:color="auto"/>
              <w:left w:val="single" w:sz="4" w:space="0" w:color="auto"/>
              <w:bottom w:val="single" w:sz="4" w:space="0" w:color="auto"/>
              <w:right w:val="single" w:sz="4" w:space="0" w:color="auto"/>
            </w:tcBorders>
            <w:vAlign w:val="center"/>
            <w:hideMark/>
          </w:tcPr>
          <w:p w:rsidR="00FD4563" w:rsidRPr="00E743CA" w:rsidRDefault="00FD4563" w:rsidP="008C4470">
            <w:pPr>
              <w:contextualSpacing/>
              <w:jc w:val="center"/>
              <w:rPr>
                <w:rFonts w:eastAsia="Calibri"/>
                <w:b/>
              </w:rPr>
            </w:pPr>
            <w:r w:rsidRPr="00E743CA">
              <w:rPr>
                <w:rFonts w:eastAsia="Calibri"/>
                <w:b/>
              </w:rPr>
              <w:t>Norādāmā informācija</w:t>
            </w:r>
          </w:p>
        </w:tc>
      </w:tr>
      <w:tr w:rsidR="00FD4563" w:rsidRPr="00E743CA" w:rsidTr="008C4470">
        <w:trPr>
          <w:jc w:val="center"/>
        </w:trPr>
        <w:tc>
          <w:tcPr>
            <w:tcW w:w="2660" w:type="dxa"/>
            <w:tcBorders>
              <w:top w:val="single" w:sz="4" w:space="0" w:color="auto"/>
              <w:left w:val="single" w:sz="4" w:space="0" w:color="auto"/>
              <w:bottom w:val="single" w:sz="4" w:space="0" w:color="auto"/>
              <w:right w:val="single" w:sz="4" w:space="0" w:color="auto"/>
            </w:tcBorders>
            <w:hideMark/>
          </w:tcPr>
          <w:p w:rsidR="00FD4563" w:rsidRPr="00E743CA" w:rsidRDefault="00FD4563" w:rsidP="00FD4563">
            <w:pPr>
              <w:pStyle w:val="Sarakstarindkopa"/>
              <w:numPr>
                <w:ilvl w:val="0"/>
                <w:numId w:val="3"/>
              </w:numPr>
              <w:tabs>
                <w:tab w:val="left" w:pos="596"/>
              </w:tabs>
              <w:ind w:left="29" w:firstLine="0"/>
              <w:jc w:val="both"/>
              <w:rPr>
                <w:rFonts w:eastAsia="Calibri"/>
                <w:b/>
                <w:bCs/>
              </w:rPr>
            </w:pPr>
            <w:r w:rsidRPr="00E743CA">
              <w:rPr>
                <w:rFonts w:eastAsia="Calibri"/>
              </w:rPr>
              <w:t>Nepieciešamības pamatojums</w:t>
            </w:r>
          </w:p>
        </w:tc>
        <w:tc>
          <w:tcPr>
            <w:tcW w:w="6946" w:type="dxa"/>
            <w:tcBorders>
              <w:top w:val="single" w:sz="4" w:space="0" w:color="auto"/>
              <w:left w:val="single" w:sz="4" w:space="0" w:color="auto"/>
              <w:bottom w:val="single" w:sz="4" w:space="0" w:color="auto"/>
              <w:right w:val="single" w:sz="4" w:space="0" w:color="auto"/>
            </w:tcBorders>
            <w:vAlign w:val="center"/>
            <w:hideMark/>
          </w:tcPr>
          <w:p w:rsidR="00EF06D1" w:rsidRDefault="00FD4563" w:rsidP="003046CE">
            <w:pPr>
              <w:ind w:firstLine="567"/>
              <w:jc w:val="both"/>
            </w:pPr>
            <w:r w:rsidRPr="00E743CA">
              <w:t>Saskaņā ar Ministru kabineta 2015.gada 31.marta noteikumu Nr.153 „Noteikumi par pasažieru kategorijām, kuras ir tiesīgas izmantot braukšanas maksas atvieglojumus maršrutu tīkla maršrutos” 7. un 8.punktā minēto kategoriju pasažieri (ārpus pilsētas teritorijas dzīvojošajiem vispārējās pamatizglītības iestādēs izglītojamie un vispārējās vidējās izglītības iestādēs izglītojamie) biļeti iegādājas par pilnu maksu, un braukšanas izdevumus viņiem pašvaldības noteiktajā kārtībā sedz no attiecīgās pašvaldības budžeta. Šie Ministru kabineta noteikumi un Limbažu novada pašvaldības 2009.gada 22.oktobra saistošie noteikumi Nr.85 „Kārtība, kādā Limbažu novada pašvaldība sedz braukšanas izdevumus vispārējās pamatizglītības un vidējās izglītības iestādēs izglītojamiem” neparedz izdevumu kompensāciju profesionālās ievirzes izglītības iestādēs izglītojamiem. Tāda nosakāma šajos saistošajos noteikumos, veicot atbilstošus grozījumus. Saskaņā ar likuma „Par pašvaldībām” 43.panta pirmās daļas 13.punktu, dome ir tiesīga izdot saistošus noteikumus par citiem likumos un Ministru kabineta noteikumos paredzētajiem jautājumiem, bet saskaņā ar 43.panta trešo daļu, dome var pieņemt saistošos noteikumus arī, lai nodrošinātu pašvaldības autonomo funkciju un brīvprātīgo iniciatīvu izpildi.</w:t>
            </w:r>
          </w:p>
          <w:p w:rsidR="00FD4563" w:rsidRPr="00E743CA" w:rsidRDefault="00FD4563" w:rsidP="008C4470">
            <w:pPr>
              <w:ind w:firstLine="567"/>
              <w:jc w:val="both"/>
            </w:pPr>
            <w:r w:rsidRPr="00E743CA">
              <w:t>Viena no pašvaldības autonomajām funkcijām ir likuma „Par pašvaldībām” 15.panta pirmās daļas 4.punktā noteiktā autonomā funkcija – gādāt par iedzīvotāju izglītību (iedzīvotājiem noteikto tiesību nodrošināšana pamatizglītības un vispārējās vidējās izglītības iegūšanā; pirmsskolas un skolas vecuma bērnu nodrošināšana ar vietām mācību un audzināšanas iestādēs; organizatoriska un finansiāla palīdzība ārpusskolas mācību un audzināšanas iestādēm un izglītības atbalsta iestādēm u.c.).</w:t>
            </w:r>
          </w:p>
          <w:p w:rsidR="00EF06D1" w:rsidRPr="00E743CA" w:rsidRDefault="00FD4563" w:rsidP="00EF06D1">
            <w:pPr>
              <w:ind w:firstLine="567"/>
              <w:jc w:val="both"/>
            </w:pPr>
            <w:r w:rsidRPr="00E743CA">
              <w:t xml:space="preserve">Saskaņā ar Sabiedriskā transporta pakalpojumu likuma 14.panta trešo daļu, pašvaldībām ir tiesības noteikt braukšanas maksas atvieglojumus savā administratīvajā teritorijā, ja ar šo braukšanas </w:t>
            </w:r>
            <w:r w:rsidRPr="00E743CA">
              <w:lastRenderedPageBreak/>
              <w:t>maksas atvieglojumu noteikšanu pārvadātājam radītos zaudējumus pilnībā kompensē no pašvaldības budžeta.</w:t>
            </w:r>
          </w:p>
        </w:tc>
      </w:tr>
      <w:tr w:rsidR="00FD4563" w:rsidRPr="00E743CA" w:rsidTr="008C4470">
        <w:trPr>
          <w:jc w:val="center"/>
        </w:trPr>
        <w:tc>
          <w:tcPr>
            <w:tcW w:w="2660" w:type="dxa"/>
            <w:tcBorders>
              <w:top w:val="single" w:sz="4" w:space="0" w:color="auto"/>
              <w:left w:val="single" w:sz="4" w:space="0" w:color="auto"/>
              <w:bottom w:val="single" w:sz="4" w:space="0" w:color="auto"/>
              <w:right w:val="single" w:sz="4" w:space="0" w:color="auto"/>
            </w:tcBorders>
            <w:hideMark/>
          </w:tcPr>
          <w:p w:rsidR="00FD4563" w:rsidRPr="00E743CA" w:rsidRDefault="00FD4563" w:rsidP="00FD4563">
            <w:pPr>
              <w:pStyle w:val="Sarakstarindkopa"/>
              <w:numPr>
                <w:ilvl w:val="0"/>
                <w:numId w:val="3"/>
              </w:numPr>
              <w:tabs>
                <w:tab w:val="left" w:pos="596"/>
              </w:tabs>
              <w:ind w:left="29" w:firstLine="0"/>
              <w:jc w:val="both"/>
              <w:rPr>
                <w:rFonts w:eastAsia="Calibri"/>
                <w:b/>
                <w:bCs/>
              </w:rPr>
            </w:pPr>
            <w:r w:rsidRPr="00E743CA">
              <w:rPr>
                <w:rFonts w:eastAsia="Calibri"/>
              </w:rPr>
              <w:lastRenderedPageBreak/>
              <w:t>Īss satura izklāsts</w:t>
            </w:r>
          </w:p>
        </w:tc>
        <w:tc>
          <w:tcPr>
            <w:tcW w:w="6946" w:type="dxa"/>
            <w:tcBorders>
              <w:top w:val="single" w:sz="4" w:space="0" w:color="auto"/>
              <w:left w:val="single" w:sz="4" w:space="0" w:color="auto"/>
              <w:bottom w:val="single" w:sz="4" w:space="0" w:color="auto"/>
              <w:right w:val="single" w:sz="4" w:space="0" w:color="auto"/>
            </w:tcBorders>
            <w:vAlign w:val="center"/>
            <w:hideMark/>
          </w:tcPr>
          <w:p w:rsidR="00FD4563" w:rsidRPr="00E743CA" w:rsidRDefault="00FD4563" w:rsidP="008C4470">
            <w:pPr>
              <w:contextualSpacing/>
              <w:jc w:val="both"/>
              <w:rPr>
                <w:rFonts w:eastAsia="Calibri"/>
                <w:bCs/>
              </w:rPr>
            </w:pPr>
            <w:r w:rsidRPr="00E743CA">
              <w:rPr>
                <w:rFonts w:eastAsia="Calibri"/>
              </w:rPr>
              <w:t xml:space="preserve">Saistošie noteikumi izstrādāti, lai paredzētu </w:t>
            </w:r>
            <w:r w:rsidRPr="00E743CA">
              <w:t>profesionālās ievirzes izglītības iestādēs izglītojamiem izdevumu kompensāciju 100 % apmērā, kas saistīti ar braucieniem mācību gada laikā no dzīves vietas līdz izglītības iestādei un atpakaļ novada administratīvajā teritorijā, ja tie izmanto sabiedrisko transportu, kas pārvadā pasažierus.</w:t>
            </w:r>
          </w:p>
        </w:tc>
      </w:tr>
      <w:tr w:rsidR="00FD4563" w:rsidRPr="00E743CA" w:rsidTr="008C4470">
        <w:trPr>
          <w:jc w:val="center"/>
        </w:trPr>
        <w:tc>
          <w:tcPr>
            <w:tcW w:w="2660" w:type="dxa"/>
            <w:tcBorders>
              <w:top w:val="single" w:sz="4" w:space="0" w:color="auto"/>
              <w:left w:val="single" w:sz="4" w:space="0" w:color="auto"/>
              <w:bottom w:val="single" w:sz="4" w:space="0" w:color="auto"/>
              <w:right w:val="single" w:sz="4" w:space="0" w:color="auto"/>
            </w:tcBorders>
            <w:hideMark/>
          </w:tcPr>
          <w:p w:rsidR="00FD4563" w:rsidRPr="00E743CA" w:rsidRDefault="00FD4563" w:rsidP="00FD4563">
            <w:pPr>
              <w:pStyle w:val="Sarakstarindkopa"/>
              <w:numPr>
                <w:ilvl w:val="0"/>
                <w:numId w:val="3"/>
              </w:numPr>
              <w:tabs>
                <w:tab w:val="left" w:pos="596"/>
              </w:tabs>
              <w:ind w:left="29" w:firstLine="0"/>
              <w:jc w:val="both"/>
              <w:rPr>
                <w:rFonts w:eastAsia="Calibri"/>
                <w:b/>
                <w:bCs/>
              </w:rPr>
            </w:pPr>
            <w:r w:rsidRPr="00E743CA">
              <w:rPr>
                <w:rFonts w:eastAsia="Calibri"/>
              </w:rPr>
              <w:t>Informācija par plānoto ietekmi uz pašvaldības budžetu</w:t>
            </w:r>
          </w:p>
        </w:tc>
        <w:tc>
          <w:tcPr>
            <w:tcW w:w="6946" w:type="dxa"/>
            <w:tcBorders>
              <w:top w:val="single" w:sz="4" w:space="0" w:color="auto"/>
              <w:left w:val="single" w:sz="4" w:space="0" w:color="auto"/>
              <w:bottom w:val="single" w:sz="4" w:space="0" w:color="auto"/>
              <w:right w:val="single" w:sz="4" w:space="0" w:color="auto"/>
            </w:tcBorders>
            <w:vAlign w:val="center"/>
            <w:hideMark/>
          </w:tcPr>
          <w:p w:rsidR="00FD4563" w:rsidRPr="00E743CA" w:rsidRDefault="00FD4563" w:rsidP="008C4470">
            <w:pPr>
              <w:contextualSpacing/>
              <w:jc w:val="both"/>
              <w:rPr>
                <w:rFonts w:eastAsia="Calibri"/>
                <w:b/>
                <w:bCs/>
              </w:rPr>
            </w:pPr>
            <w:r w:rsidRPr="00E743CA">
              <w:rPr>
                <w:rFonts w:eastAsia="Calibri"/>
              </w:rPr>
              <w:t>Saistošie noteikumi nelielā apmērā ietekmēs pašvaldības budžetu.</w:t>
            </w:r>
          </w:p>
        </w:tc>
      </w:tr>
      <w:tr w:rsidR="00FD4563" w:rsidRPr="00E743CA" w:rsidTr="008C4470">
        <w:trPr>
          <w:jc w:val="center"/>
        </w:trPr>
        <w:tc>
          <w:tcPr>
            <w:tcW w:w="2660" w:type="dxa"/>
            <w:tcBorders>
              <w:top w:val="single" w:sz="4" w:space="0" w:color="auto"/>
              <w:left w:val="single" w:sz="4" w:space="0" w:color="auto"/>
              <w:bottom w:val="single" w:sz="4" w:space="0" w:color="auto"/>
              <w:right w:val="single" w:sz="4" w:space="0" w:color="auto"/>
            </w:tcBorders>
            <w:hideMark/>
          </w:tcPr>
          <w:p w:rsidR="00FD4563" w:rsidRPr="00E743CA" w:rsidRDefault="00FD4563" w:rsidP="00FD4563">
            <w:pPr>
              <w:pStyle w:val="Sarakstarindkopa"/>
              <w:numPr>
                <w:ilvl w:val="0"/>
                <w:numId w:val="3"/>
              </w:numPr>
              <w:tabs>
                <w:tab w:val="left" w:pos="596"/>
              </w:tabs>
              <w:ind w:left="29" w:firstLine="0"/>
              <w:jc w:val="both"/>
              <w:rPr>
                <w:rFonts w:eastAsia="Calibri"/>
                <w:b/>
                <w:bCs/>
              </w:rPr>
            </w:pPr>
            <w:r w:rsidRPr="00E743CA">
              <w:rPr>
                <w:rFonts w:eastAsia="Calibri"/>
              </w:rPr>
              <w:t>Informācija par plānoto ietekmi uz uzņēmējdarbības vidi pašvaldības teritorijā</w:t>
            </w:r>
          </w:p>
        </w:tc>
        <w:tc>
          <w:tcPr>
            <w:tcW w:w="6946" w:type="dxa"/>
            <w:tcBorders>
              <w:top w:val="single" w:sz="4" w:space="0" w:color="auto"/>
              <w:left w:val="single" w:sz="4" w:space="0" w:color="auto"/>
              <w:bottom w:val="single" w:sz="4" w:space="0" w:color="auto"/>
              <w:right w:val="single" w:sz="4" w:space="0" w:color="auto"/>
            </w:tcBorders>
            <w:vAlign w:val="center"/>
            <w:hideMark/>
          </w:tcPr>
          <w:p w:rsidR="00FD4563" w:rsidRPr="00E743CA" w:rsidRDefault="00FD4563" w:rsidP="008C4470">
            <w:pPr>
              <w:contextualSpacing/>
              <w:jc w:val="both"/>
              <w:rPr>
                <w:rFonts w:eastAsia="Calibri"/>
                <w:b/>
                <w:bCs/>
              </w:rPr>
            </w:pPr>
            <w:r w:rsidRPr="00E743CA">
              <w:rPr>
                <w:rFonts w:eastAsia="Calibri"/>
              </w:rPr>
              <w:t>Nav attiecināms.</w:t>
            </w:r>
          </w:p>
        </w:tc>
      </w:tr>
      <w:tr w:rsidR="00FD4563" w:rsidRPr="00E743CA" w:rsidTr="008C4470">
        <w:trPr>
          <w:jc w:val="center"/>
        </w:trPr>
        <w:tc>
          <w:tcPr>
            <w:tcW w:w="2660" w:type="dxa"/>
            <w:tcBorders>
              <w:top w:val="single" w:sz="4" w:space="0" w:color="auto"/>
              <w:left w:val="single" w:sz="4" w:space="0" w:color="auto"/>
              <w:bottom w:val="single" w:sz="4" w:space="0" w:color="auto"/>
              <w:right w:val="single" w:sz="4" w:space="0" w:color="auto"/>
            </w:tcBorders>
            <w:hideMark/>
          </w:tcPr>
          <w:p w:rsidR="00FD4563" w:rsidRPr="00E743CA" w:rsidRDefault="00FD4563" w:rsidP="00FD4563">
            <w:pPr>
              <w:pStyle w:val="Sarakstarindkopa"/>
              <w:numPr>
                <w:ilvl w:val="0"/>
                <w:numId w:val="3"/>
              </w:numPr>
              <w:tabs>
                <w:tab w:val="left" w:pos="596"/>
              </w:tabs>
              <w:ind w:left="29" w:firstLine="0"/>
              <w:jc w:val="both"/>
              <w:rPr>
                <w:rFonts w:eastAsia="Calibri"/>
                <w:b/>
                <w:bCs/>
              </w:rPr>
            </w:pPr>
            <w:r w:rsidRPr="00E743CA">
              <w:rPr>
                <w:rFonts w:eastAsia="Calibri"/>
              </w:rPr>
              <w:t>Informācija par administratīvajām procedūrām</w:t>
            </w:r>
          </w:p>
        </w:tc>
        <w:tc>
          <w:tcPr>
            <w:tcW w:w="6946" w:type="dxa"/>
            <w:tcBorders>
              <w:top w:val="single" w:sz="4" w:space="0" w:color="auto"/>
              <w:left w:val="single" w:sz="4" w:space="0" w:color="auto"/>
              <w:bottom w:val="single" w:sz="4" w:space="0" w:color="auto"/>
              <w:right w:val="single" w:sz="4" w:space="0" w:color="auto"/>
            </w:tcBorders>
            <w:vAlign w:val="center"/>
            <w:hideMark/>
          </w:tcPr>
          <w:p w:rsidR="00FD4563" w:rsidRPr="00E743CA" w:rsidRDefault="00FD4563" w:rsidP="008C4470">
            <w:pPr>
              <w:contextualSpacing/>
              <w:jc w:val="both"/>
              <w:rPr>
                <w:rFonts w:eastAsia="Calibri"/>
                <w:b/>
                <w:bCs/>
              </w:rPr>
            </w:pPr>
            <w:r w:rsidRPr="00E743CA">
              <w:rPr>
                <w:rFonts w:eastAsia="Calibri"/>
              </w:rPr>
              <w:t>Iedzīvotāji saistošo noteikumu piemērošanā var vērsties Limbažu novada pašvaldībā.</w:t>
            </w:r>
          </w:p>
        </w:tc>
      </w:tr>
      <w:tr w:rsidR="00FD4563" w:rsidRPr="00E743CA" w:rsidTr="008C4470">
        <w:trPr>
          <w:jc w:val="center"/>
        </w:trPr>
        <w:tc>
          <w:tcPr>
            <w:tcW w:w="2660" w:type="dxa"/>
            <w:tcBorders>
              <w:top w:val="single" w:sz="4" w:space="0" w:color="auto"/>
              <w:left w:val="single" w:sz="4" w:space="0" w:color="auto"/>
              <w:bottom w:val="single" w:sz="4" w:space="0" w:color="auto"/>
              <w:right w:val="single" w:sz="4" w:space="0" w:color="auto"/>
            </w:tcBorders>
            <w:hideMark/>
          </w:tcPr>
          <w:p w:rsidR="00FD4563" w:rsidRPr="00E743CA" w:rsidRDefault="00FD4563" w:rsidP="00FD4563">
            <w:pPr>
              <w:pStyle w:val="Sarakstarindkopa"/>
              <w:numPr>
                <w:ilvl w:val="0"/>
                <w:numId w:val="3"/>
              </w:numPr>
              <w:tabs>
                <w:tab w:val="left" w:pos="577"/>
              </w:tabs>
              <w:ind w:left="29" w:firstLine="0"/>
              <w:jc w:val="both"/>
              <w:rPr>
                <w:rFonts w:eastAsia="Calibri"/>
                <w:b/>
                <w:bCs/>
              </w:rPr>
            </w:pPr>
            <w:r w:rsidRPr="00E743CA">
              <w:rPr>
                <w:rFonts w:eastAsia="Calibri"/>
              </w:rPr>
              <w:t>Informācija par konsultācijām ar privātpersonām</w:t>
            </w:r>
          </w:p>
        </w:tc>
        <w:tc>
          <w:tcPr>
            <w:tcW w:w="6946" w:type="dxa"/>
            <w:tcBorders>
              <w:top w:val="single" w:sz="4" w:space="0" w:color="auto"/>
              <w:left w:val="single" w:sz="4" w:space="0" w:color="auto"/>
              <w:bottom w:val="single" w:sz="4" w:space="0" w:color="auto"/>
              <w:right w:val="single" w:sz="4" w:space="0" w:color="auto"/>
            </w:tcBorders>
            <w:vAlign w:val="center"/>
            <w:hideMark/>
          </w:tcPr>
          <w:p w:rsidR="00FD4563" w:rsidRPr="00E743CA" w:rsidRDefault="00FD4563" w:rsidP="008C4470">
            <w:pPr>
              <w:contextualSpacing/>
              <w:jc w:val="both"/>
              <w:rPr>
                <w:rFonts w:eastAsia="Calibri"/>
                <w:b/>
                <w:bCs/>
              </w:rPr>
            </w:pPr>
            <w:r w:rsidRPr="00E743CA">
              <w:rPr>
                <w:rFonts w:eastAsia="Calibri"/>
              </w:rPr>
              <w:t>Saistošo noteikumu izstrādē netika veiktas konsultācijas ar privātpersonām.</w:t>
            </w:r>
          </w:p>
        </w:tc>
      </w:tr>
    </w:tbl>
    <w:p w:rsidR="00FD4563" w:rsidRDefault="00FD4563" w:rsidP="00FD4563">
      <w:pPr>
        <w:rPr>
          <w:rFonts w:eastAsia="Calibri"/>
          <w:b/>
          <w:bCs/>
        </w:rPr>
      </w:pPr>
    </w:p>
    <w:p w:rsidR="00EF06D1" w:rsidRDefault="00EF06D1" w:rsidP="00EF06D1">
      <w:pPr>
        <w:rPr>
          <w:rFonts w:eastAsia="Calibri"/>
          <w:b/>
          <w:bCs/>
        </w:rPr>
      </w:pPr>
    </w:p>
    <w:p w:rsidR="00EF06D1" w:rsidRPr="00E54A23" w:rsidRDefault="00EF06D1" w:rsidP="003046CE">
      <w:pPr>
        <w:contextualSpacing/>
      </w:pPr>
    </w:p>
    <w:p w:rsidR="00EF06D1" w:rsidRPr="00E54A23" w:rsidRDefault="00EF06D1" w:rsidP="00EF06D1">
      <w:pPr>
        <w:ind w:right="43"/>
        <w:contextualSpacing/>
        <w:rPr>
          <w:rFonts w:eastAsia="Calibri"/>
        </w:rPr>
      </w:pPr>
      <w:r w:rsidRPr="00E54A23">
        <w:rPr>
          <w:rFonts w:eastAsia="Calibri"/>
        </w:rPr>
        <w:t>Limbažu novada pašvaldības</w:t>
      </w:r>
    </w:p>
    <w:p w:rsidR="00EF06D1" w:rsidRDefault="00EF06D1" w:rsidP="00EF06D1">
      <w:pPr>
        <w:tabs>
          <w:tab w:val="left" w:pos="4678"/>
          <w:tab w:val="left" w:pos="8364"/>
        </w:tabs>
        <w:ind w:right="43"/>
        <w:contextualSpacing/>
        <w:rPr>
          <w:rFonts w:eastAsia="Calibri"/>
        </w:rPr>
      </w:pPr>
      <w:r w:rsidRPr="00E54A23">
        <w:rPr>
          <w:rFonts w:eastAsia="Calibri"/>
        </w:rPr>
        <w:t>Domes priekšsēdētājs</w:t>
      </w:r>
      <w:r w:rsidRPr="00E54A23">
        <w:rPr>
          <w:rFonts w:eastAsia="Calibri"/>
        </w:rPr>
        <w:tab/>
      </w:r>
      <w:r w:rsidRPr="00E54A23">
        <w:rPr>
          <w:rFonts w:eastAsia="Calibri"/>
        </w:rPr>
        <w:tab/>
      </w:r>
      <w:proofErr w:type="spellStart"/>
      <w:r w:rsidRPr="00E54A23">
        <w:rPr>
          <w:rFonts w:eastAsia="Calibri"/>
        </w:rPr>
        <w:t>D.Zemmers</w:t>
      </w:r>
      <w:proofErr w:type="spellEnd"/>
    </w:p>
    <w:p w:rsidR="00FD4563" w:rsidRPr="00E743CA" w:rsidRDefault="00FD4563" w:rsidP="00FD4563">
      <w:pPr>
        <w:spacing w:after="200" w:line="276" w:lineRule="auto"/>
        <w:rPr>
          <w:b/>
        </w:rPr>
      </w:pPr>
    </w:p>
    <w:p w:rsidR="003046CE" w:rsidRDefault="003046CE" w:rsidP="00FD4563">
      <w:pPr>
        <w:ind w:right="-186"/>
        <w:jc w:val="center"/>
        <w:rPr>
          <w:b/>
        </w:rPr>
        <w:sectPr w:rsidR="003046CE" w:rsidSect="009B7955">
          <w:headerReference w:type="default" r:id="rId7"/>
          <w:headerReference w:type="first" r:id="rId8"/>
          <w:pgSz w:w="11906" w:h="16838" w:code="9"/>
          <w:pgMar w:top="1134" w:right="567" w:bottom="1134" w:left="1701" w:header="709" w:footer="709" w:gutter="0"/>
          <w:cols w:space="708"/>
          <w:titlePg/>
          <w:docGrid w:linePitch="360"/>
        </w:sectPr>
      </w:pPr>
    </w:p>
    <w:p w:rsidR="003046CE" w:rsidRPr="003046CE" w:rsidRDefault="003046CE" w:rsidP="00FD4563">
      <w:pPr>
        <w:ind w:right="-186"/>
        <w:jc w:val="center"/>
        <w:rPr>
          <w:b/>
        </w:rPr>
      </w:pPr>
    </w:p>
    <w:p w:rsidR="00FD4563" w:rsidRPr="003046CE" w:rsidRDefault="00FD4563" w:rsidP="00FD4563">
      <w:pPr>
        <w:ind w:right="-186"/>
        <w:jc w:val="center"/>
        <w:rPr>
          <w:b/>
        </w:rPr>
      </w:pPr>
      <w:r w:rsidRPr="003046CE">
        <w:rPr>
          <w:b/>
        </w:rPr>
        <w:t>SAISTOŠIE NOTEIKUMI</w:t>
      </w:r>
    </w:p>
    <w:p w:rsidR="00FD4563" w:rsidRPr="003046CE" w:rsidRDefault="00FD4563" w:rsidP="00FD4563">
      <w:pPr>
        <w:ind w:right="-186"/>
        <w:jc w:val="center"/>
      </w:pPr>
      <w:r w:rsidRPr="003046CE">
        <w:t>Limbažos</w:t>
      </w:r>
    </w:p>
    <w:p w:rsidR="003046CE" w:rsidRPr="003046CE" w:rsidRDefault="003046CE" w:rsidP="00FD4563">
      <w:pPr>
        <w:ind w:right="-186"/>
        <w:jc w:val="center"/>
        <w:rPr>
          <w:b/>
        </w:rPr>
      </w:pPr>
    </w:p>
    <w:p w:rsidR="00FD4563" w:rsidRPr="003046CE" w:rsidRDefault="00FD4563" w:rsidP="00FD4563">
      <w:pPr>
        <w:tabs>
          <w:tab w:val="left" w:pos="9072"/>
        </w:tabs>
        <w:ind w:right="43"/>
      </w:pPr>
      <w:r w:rsidRPr="003046CE">
        <w:t>2016.gada 28.janvārī</w:t>
      </w:r>
      <w:r w:rsidRPr="003046CE">
        <w:tab/>
        <w:t>Nr.4</w:t>
      </w:r>
    </w:p>
    <w:p w:rsidR="00FD4563" w:rsidRPr="003046CE" w:rsidRDefault="00FD4563" w:rsidP="00FD4563">
      <w:pPr>
        <w:ind w:right="-186"/>
      </w:pPr>
    </w:p>
    <w:p w:rsidR="00FD4563" w:rsidRPr="003046CE" w:rsidRDefault="00FD4563" w:rsidP="00FD4563">
      <w:pPr>
        <w:ind w:right="-81"/>
        <w:jc w:val="right"/>
        <w:rPr>
          <w:b/>
          <w:bCs/>
        </w:rPr>
      </w:pPr>
      <w:r w:rsidRPr="003046CE">
        <w:rPr>
          <w:b/>
        </w:rPr>
        <w:t>APSTIPRINĀTI</w:t>
      </w:r>
    </w:p>
    <w:p w:rsidR="00FD4563" w:rsidRPr="003046CE" w:rsidRDefault="00FD4563" w:rsidP="00FD4563">
      <w:pPr>
        <w:autoSpaceDE w:val="0"/>
        <w:autoSpaceDN w:val="0"/>
        <w:adjustRightInd w:val="0"/>
        <w:jc w:val="right"/>
        <w:rPr>
          <w:b/>
          <w:bCs/>
        </w:rPr>
      </w:pPr>
      <w:r w:rsidRPr="003046CE">
        <w:t>ar Limbažu novada domes</w:t>
      </w:r>
    </w:p>
    <w:p w:rsidR="00FD4563" w:rsidRPr="003046CE" w:rsidRDefault="00FD4563" w:rsidP="00FD4563">
      <w:pPr>
        <w:autoSpaceDE w:val="0"/>
        <w:autoSpaceDN w:val="0"/>
        <w:adjustRightInd w:val="0"/>
        <w:jc w:val="right"/>
        <w:rPr>
          <w:b/>
          <w:bCs/>
        </w:rPr>
      </w:pPr>
      <w:r w:rsidRPr="003046CE">
        <w:t>28.01.2016. sēdes</w:t>
      </w:r>
      <w:r w:rsidRPr="003046CE">
        <w:rPr>
          <w:b/>
          <w:bCs/>
        </w:rPr>
        <w:t xml:space="preserve"> </w:t>
      </w:r>
      <w:r w:rsidRPr="003046CE">
        <w:t xml:space="preserve">lēmumu </w:t>
      </w:r>
    </w:p>
    <w:p w:rsidR="00FD4563" w:rsidRPr="003046CE" w:rsidRDefault="00FD4563" w:rsidP="00FD4563">
      <w:pPr>
        <w:autoSpaceDE w:val="0"/>
        <w:autoSpaceDN w:val="0"/>
        <w:adjustRightInd w:val="0"/>
        <w:jc w:val="right"/>
        <w:rPr>
          <w:b/>
          <w:bCs/>
        </w:rPr>
      </w:pPr>
      <w:r w:rsidRPr="003046CE">
        <w:t>(protokols Nr.3, 14.§)</w:t>
      </w:r>
    </w:p>
    <w:p w:rsidR="00FD4563" w:rsidRPr="003046CE" w:rsidRDefault="00FD4563" w:rsidP="00FD4563">
      <w:pPr>
        <w:ind w:right="-81"/>
        <w:jc w:val="right"/>
        <w:rPr>
          <w:i/>
        </w:rPr>
      </w:pPr>
    </w:p>
    <w:p w:rsidR="00FD4563" w:rsidRPr="003046CE" w:rsidRDefault="00FD4563" w:rsidP="00FD4563">
      <w:pPr>
        <w:ind w:right="-81"/>
        <w:jc w:val="right"/>
        <w:rPr>
          <w:bCs/>
          <w:i/>
        </w:rPr>
      </w:pPr>
      <w:r w:rsidRPr="003046CE">
        <w:rPr>
          <w:i/>
        </w:rPr>
        <w:t xml:space="preserve">PRECIZĒTI </w:t>
      </w:r>
    </w:p>
    <w:p w:rsidR="00FD4563" w:rsidRPr="003046CE" w:rsidRDefault="00FD4563" w:rsidP="00FD4563">
      <w:pPr>
        <w:autoSpaceDE w:val="0"/>
        <w:autoSpaceDN w:val="0"/>
        <w:adjustRightInd w:val="0"/>
        <w:jc w:val="right"/>
        <w:rPr>
          <w:bCs/>
          <w:i/>
        </w:rPr>
      </w:pPr>
      <w:r w:rsidRPr="003046CE">
        <w:rPr>
          <w:i/>
        </w:rPr>
        <w:t>ar Limbažu novada domes</w:t>
      </w:r>
    </w:p>
    <w:p w:rsidR="00FD4563" w:rsidRPr="003046CE" w:rsidRDefault="00524C90" w:rsidP="00FD4563">
      <w:pPr>
        <w:autoSpaceDE w:val="0"/>
        <w:autoSpaceDN w:val="0"/>
        <w:adjustRightInd w:val="0"/>
        <w:jc w:val="right"/>
        <w:rPr>
          <w:bCs/>
          <w:i/>
        </w:rPr>
      </w:pPr>
      <w:r w:rsidRPr="003046CE">
        <w:rPr>
          <w:i/>
        </w:rPr>
        <w:t>24</w:t>
      </w:r>
      <w:r w:rsidR="00FD4563" w:rsidRPr="003046CE">
        <w:rPr>
          <w:i/>
        </w:rPr>
        <w:t>.03.2016. sēdes</w:t>
      </w:r>
      <w:r w:rsidR="00FD4563" w:rsidRPr="003046CE">
        <w:rPr>
          <w:bCs/>
          <w:i/>
        </w:rPr>
        <w:t xml:space="preserve"> </w:t>
      </w:r>
      <w:r w:rsidR="00FD4563" w:rsidRPr="003046CE">
        <w:rPr>
          <w:i/>
        </w:rPr>
        <w:t xml:space="preserve">lēmumu </w:t>
      </w:r>
    </w:p>
    <w:p w:rsidR="00FD4563" w:rsidRDefault="00524C90" w:rsidP="00FD4563">
      <w:pPr>
        <w:autoSpaceDE w:val="0"/>
        <w:autoSpaceDN w:val="0"/>
        <w:adjustRightInd w:val="0"/>
        <w:jc w:val="right"/>
        <w:rPr>
          <w:i/>
        </w:rPr>
      </w:pPr>
      <w:r w:rsidRPr="003046CE">
        <w:rPr>
          <w:i/>
        </w:rPr>
        <w:t>(protokols Nr.6, 42</w:t>
      </w:r>
      <w:r w:rsidR="00FD4563" w:rsidRPr="003046CE">
        <w:rPr>
          <w:i/>
        </w:rPr>
        <w:t>.§)</w:t>
      </w:r>
    </w:p>
    <w:p w:rsidR="003046CE" w:rsidRPr="003046CE" w:rsidRDefault="003046CE" w:rsidP="00FD4563">
      <w:pPr>
        <w:autoSpaceDE w:val="0"/>
        <w:autoSpaceDN w:val="0"/>
        <w:adjustRightInd w:val="0"/>
        <w:jc w:val="right"/>
        <w:rPr>
          <w:bCs/>
          <w:i/>
        </w:rPr>
      </w:pPr>
    </w:p>
    <w:p w:rsidR="00FD4563" w:rsidRPr="00E743CA" w:rsidRDefault="00FD4563" w:rsidP="00FD4563">
      <w:pPr>
        <w:tabs>
          <w:tab w:val="left" w:pos="567"/>
        </w:tabs>
        <w:jc w:val="center"/>
        <w:rPr>
          <w:b/>
          <w:sz w:val="28"/>
          <w:szCs w:val="28"/>
          <w:lang w:eastAsia="en-US"/>
        </w:rPr>
      </w:pPr>
      <w:r w:rsidRPr="00E743CA">
        <w:rPr>
          <w:b/>
          <w:sz w:val="28"/>
          <w:szCs w:val="28"/>
          <w:lang w:eastAsia="en-US"/>
        </w:rPr>
        <w:t>Grozījumi Limbažu novada pašvaldības</w:t>
      </w:r>
    </w:p>
    <w:p w:rsidR="00FD4563" w:rsidRPr="00E743CA" w:rsidRDefault="00FD4563" w:rsidP="00FD4563">
      <w:pPr>
        <w:tabs>
          <w:tab w:val="left" w:pos="567"/>
        </w:tabs>
        <w:jc w:val="center"/>
        <w:rPr>
          <w:b/>
          <w:sz w:val="28"/>
          <w:szCs w:val="28"/>
          <w:lang w:eastAsia="en-US"/>
        </w:rPr>
      </w:pPr>
      <w:r w:rsidRPr="00E743CA">
        <w:rPr>
          <w:b/>
          <w:sz w:val="28"/>
          <w:szCs w:val="28"/>
          <w:lang w:eastAsia="en-US"/>
        </w:rPr>
        <w:t>2009.gada 22.oktobra saistošajos noteikumos Nr.85</w:t>
      </w:r>
    </w:p>
    <w:p w:rsidR="00FD4563" w:rsidRPr="00E743CA" w:rsidRDefault="00FD4563" w:rsidP="00FD4563">
      <w:pPr>
        <w:tabs>
          <w:tab w:val="left" w:pos="567"/>
        </w:tabs>
        <w:jc w:val="center"/>
        <w:rPr>
          <w:b/>
          <w:sz w:val="28"/>
          <w:szCs w:val="28"/>
          <w:lang w:eastAsia="en-US"/>
        </w:rPr>
      </w:pPr>
      <w:r w:rsidRPr="00E743CA">
        <w:rPr>
          <w:b/>
          <w:sz w:val="28"/>
          <w:szCs w:val="28"/>
          <w:lang w:eastAsia="en-US"/>
        </w:rPr>
        <w:t>„Kārtība, kādā Limbažu novada pašvaldība sedz braukšanas izdevumus vispārējās pamatizglītības un vidējās izglītības iestādēs izglītojamiem”</w:t>
      </w:r>
    </w:p>
    <w:p w:rsidR="00FD4563" w:rsidRPr="003046CE" w:rsidRDefault="00FD4563" w:rsidP="00FD4563">
      <w:pPr>
        <w:jc w:val="right"/>
        <w:rPr>
          <w:i/>
        </w:rPr>
      </w:pPr>
    </w:p>
    <w:p w:rsidR="00FD4563" w:rsidRPr="00E743CA" w:rsidRDefault="00FD4563" w:rsidP="00FD4563">
      <w:pPr>
        <w:jc w:val="right"/>
        <w:rPr>
          <w:i/>
          <w:sz w:val="22"/>
          <w:szCs w:val="22"/>
        </w:rPr>
      </w:pPr>
      <w:r w:rsidRPr="00E743CA">
        <w:rPr>
          <w:i/>
          <w:sz w:val="22"/>
          <w:szCs w:val="22"/>
        </w:rPr>
        <w:t xml:space="preserve">Izdoti saskaņā ar </w:t>
      </w:r>
    </w:p>
    <w:p w:rsidR="00FD4563" w:rsidRPr="00E743CA" w:rsidRDefault="00FD4563" w:rsidP="00FD4563">
      <w:pPr>
        <w:jc w:val="right"/>
        <w:rPr>
          <w:i/>
          <w:sz w:val="22"/>
          <w:szCs w:val="22"/>
        </w:rPr>
      </w:pPr>
      <w:r w:rsidRPr="00E743CA">
        <w:rPr>
          <w:i/>
          <w:sz w:val="22"/>
          <w:szCs w:val="22"/>
        </w:rPr>
        <w:t xml:space="preserve">Ministru kabineta 2009.gada 4.augusta noteikumu </w:t>
      </w:r>
    </w:p>
    <w:p w:rsidR="00FD4563" w:rsidRPr="00E743CA" w:rsidRDefault="00FD4563" w:rsidP="00FD4563">
      <w:pPr>
        <w:jc w:val="right"/>
        <w:rPr>
          <w:i/>
          <w:sz w:val="22"/>
          <w:szCs w:val="22"/>
        </w:rPr>
      </w:pPr>
      <w:r w:rsidRPr="00E743CA">
        <w:rPr>
          <w:i/>
          <w:sz w:val="22"/>
          <w:szCs w:val="22"/>
        </w:rPr>
        <w:t xml:space="preserve">Nr.872 „Noteikumi par pasažieru kategorijām, kuras ir tiesīgas </w:t>
      </w:r>
    </w:p>
    <w:p w:rsidR="00FD4563" w:rsidRPr="00E743CA" w:rsidRDefault="00FD4563" w:rsidP="00FD4563">
      <w:pPr>
        <w:jc w:val="right"/>
        <w:rPr>
          <w:i/>
          <w:sz w:val="22"/>
          <w:szCs w:val="22"/>
        </w:rPr>
      </w:pPr>
      <w:r w:rsidRPr="00E743CA">
        <w:rPr>
          <w:i/>
          <w:sz w:val="22"/>
          <w:szCs w:val="22"/>
        </w:rPr>
        <w:t>izmantot braukšanas maksas atvieglojumus maršrutu tīkla maršrutos” 12.punktu</w:t>
      </w:r>
    </w:p>
    <w:p w:rsidR="00524C90" w:rsidRPr="00CA019E" w:rsidRDefault="00524C90" w:rsidP="00FD4563">
      <w:pPr>
        <w:jc w:val="both"/>
      </w:pPr>
    </w:p>
    <w:p w:rsidR="00FD4563" w:rsidRPr="00CA019E" w:rsidRDefault="00FD4563" w:rsidP="003046CE">
      <w:pPr>
        <w:ind w:firstLine="567"/>
        <w:contextualSpacing/>
        <w:jc w:val="both"/>
      </w:pPr>
      <w:r w:rsidRPr="00CA019E">
        <w:t>Izdarīt Limbažu novada pašvaldības 2009.gada 22.oktobra saistošajos noteikumos Nr.85 „Kārtība, kādā Limbažu novada pašvaldība sedz braukšanas izdevumus vispārējās pamatizglītības un vidējās izglītības iestādēs izglītojamiem” šādus grozījumus:</w:t>
      </w:r>
    </w:p>
    <w:p w:rsidR="00FD4563" w:rsidRPr="00CA019E" w:rsidRDefault="00FD4563" w:rsidP="003046CE">
      <w:pPr>
        <w:numPr>
          <w:ilvl w:val="0"/>
          <w:numId w:val="2"/>
        </w:numPr>
        <w:ind w:left="567" w:hanging="567"/>
        <w:contextualSpacing/>
        <w:jc w:val="both"/>
      </w:pPr>
      <w:r w:rsidRPr="00CA019E">
        <w:rPr>
          <w:bCs/>
        </w:rPr>
        <w:t>Izteikt nosaukumu šādā redakcijā:</w:t>
      </w:r>
    </w:p>
    <w:p w:rsidR="00FD4563" w:rsidRPr="00CA019E" w:rsidRDefault="00FD4563" w:rsidP="003046CE">
      <w:pPr>
        <w:ind w:left="567"/>
        <w:contextualSpacing/>
        <w:jc w:val="both"/>
      </w:pPr>
      <w:r w:rsidRPr="00CA019E">
        <w:t>„</w:t>
      </w:r>
      <w:r w:rsidRPr="00CA019E">
        <w:rPr>
          <w:rFonts w:eastAsia="Calibri"/>
          <w:bCs/>
          <w:lang w:eastAsia="en-US"/>
        </w:rPr>
        <w:t>Par kārtību, kādā Limbažu novada pašvaldība sedz braukšanas izdevumus vispārējās pamatizglītības, vidējās izglītības un profesionālās ievirzes izglītības iestādēs izglītojamiem</w:t>
      </w:r>
      <w:r w:rsidRPr="00CA019E">
        <w:rPr>
          <w:bCs/>
        </w:rPr>
        <w:t>”;</w:t>
      </w:r>
    </w:p>
    <w:p w:rsidR="00FD4563" w:rsidRPr="00CA019E" w:rsidRDefault="00FD4563" w:rsidP="003046CE">
      <w:pPr>
        <w:numPr>
          <w:ilvl w:val="0"/>
          <w:numId w:val="2"/>
        </w:numPr>
        <w:ind w:left="567" w:hanging="567"/>
        <w:contextualSpacing/>
        <w:jc w:val="both"/>
        <w:rPr>
          <w:bCs/>
        </w:rPr>
      </w:pPr>
      <w:r w:rsidRPr="00CA019E">
        <w:rPr>
          <w:bCs/>
        </w:rPr>
        <w:t>Izteikt tiesisko pamatojumu šādā redakcijā:</w:t>
      </w:r>
    </w:p>
    <w:p w:rsidR="00FD4563" w:rsidRPr="00CA019E" w:rsidRDefault="00FD4563" w:rsidP="003046CE">
      <w:pPr>
        <w:ind w:left="567"/>
        <w:contextualSpacing/>
        <w:jc w:val="both"/>
      </w:pPr>
      <w:r w:rsidRPr="00CA019E">
        <w:t>„</w:t>
      </w:r>
      <w:r w:rsidRPr="00CA019E">
        <w:rPr>
          <w:rFonts w:eastAsia="Calibri"/>
          <w:bCs/>
          <w:lang w:eastAsia="en-US"/>
        </w:rPr>
        <w:t>Izdoti saskaņā ar likum</w:t>
      </w:r>
      <w:r w:rsidR="009B63B8">
        <w:rPr>
          <w:rFonts w:eastAsia="Calibri"/>
          <w:bCs/>
          <w:lang w:eastAsia="en-US"/>
        </w:rPr>
        <w:t>a</w:t>
      </w:r>
      <w:bookmarkStart w:id="0" w:name="_GoBack"/>
      <w:bookmarkEnd w:id="0"/>
      <w:r w:rsidRPr="00CA019E">
        <w:rPr>
          <w:rFonts w:eastAsia="Calibri"/>
          <w:bCs/>
          <w:lang w:eastAsia="en-US"/>
        </w:rPr>
        <w:t xml:space="preserve"> </w:t>
      </w:r>
      <w:r w:rsidRPr="00CA019E">
        <w:t>„</w:t>
      </w:r>
      <w:r w:rsidRPr="00CA019E">
        <w:rPr>
          <w:rFonts w:eastAsia="Calibri"/>
          <w:bCs/>
          <w:lang w:eastAsia="en-US"/>
        </w:rPr>
        <w:t xml:space="preserve">Par pašvaldībām” 43.panta trešo daļu, Ministru kabineta 2015.gada 31.marta noteikumu Nr.153 </w:t>
      </w:r>
      <w:r w:rsidRPr="00CA019E">
        <w:t>„</w:t>
      </w:r>
      <w:r w:rsidRPr="00CA019E">
        <w:rPr>
          <w:rFonts w:eastAsia="Calibri"/>
          <w:bCs/>
          <w:lang w:eastAsia="en-US"/>
        </w:rPr>
        <w:t>Noteikumi par pasažieru kategorijām, kuras ir tiesīgas izmantot braukšanas maksas atvieglojumus maršrutu tīkla maršrutos”</w:t>
      </w:r>
      <w:r w:rsidR="00524C90" w:rsidRPr="00CA019E">
        <w:rPr>
          <w:rFonts w:eastAsia="Calibri"/>
          <w:bCs/>
          <w:lang w:eastAsia="en-US"/>
        </w:rPr>
        <w:t xml:space="preserve"> </w:t>
      </w:r>
      <w:r w:rsidRPr="00CA019E">
        <w:rPr>
          <w:rFonts w:eastAsia="Calibri"/>
          <w:bCs/>
          <w:lang w:eastAsia="en-US"/>
        </w:rPr>
        <w:t>10.punktu</w:t>
      </w:r>
      <w:r w:rsidR="003046CE">
        <w:rPr>
          <w:rFonts w:eastAsia="Calibri"/>
          <w:bCs/>
          <w:lang w:eastAsia="en-US"/>
        </w:rPr>
        <w:t>”;</w:t>
      </w:r>
    </w:p>
    <w:p w:rsidR="00FD4563" w:rsidRPr="00CA019E" w:rsidRDefault="00FD4563" w:rsidP="003046CE">
      <w:pPr>
        <w:numPr>
          <w:ilvl w:val="0"/>
          <w:numId w:val="2"/>
        </w:numPr>
        <w:ind w:left="567" w:hanging="567"/>
        <w:contextualSpacing/>
        <w:jc w:val="both"/>
      </w:pPr>
      <w:r w:rsidRPr="00CA019E">
        <w:rPr>
          <w:bCs/>
        </w:rPr>
        <w:t>Papildināt ar 2.3.</w:t>
      </w:r>
      <w:r w:rsidRPr="00CA019E">
        <w:rPr>
          <w:bCs/>
          <w:vertAlign w:val="superscript"/>
        </w:rPr>
        <w:t>1</w:t>
      </w:r>
      <w:r w:rsidRPr="00CA019E">
        <w:rPr>
          <w:bCs/>
        </w:rPr>
        <w:t>punktu</w:t>
      </w:r>
      <w:r w:rsidRPr="00CA019E">
        <w:t xml:space="preserve"> šādā redakcijā:</w:t>
      </w:r>
    </w:p>
    <w:p w:rsidR="00FD4563" w:rsidRPr="00CA019E" w:rsidRDefault="00FD4563" w:rsidP="003046CE">
      <w:pPr>
        <w:ind w:left="1134" w:hanging="567"/>
        <w:contextualSpacing/>
        <w:jc w:val="both"/>
      </w:pPr>
      <w:r w:rsidRPr="00CA019E">
        <w:t>„</w:t>
      </w:r>
      <w:r w:rsidRPr="00CA019E">
        <w:rPr>
          <w:bCs/>
        </w:rPr>
        <w:t>2.3.</w:t>
      </w:r>
      <w:r w:rsidRPr="00CA019E">
        <w:rPr>
          <w:bCs/>
          <w:vertAlign w:val="superscript"/>
        </w:rPr>
        <w:t>1</w:t>
      </w:r>
      <w:r w:rsidRPr="00CA019E">
        <w:rPr>
          <w:bCs/>
          <w:vertAlign w:val="superscript"/>
        </w:rPr>
        <w:tab/>
      </w:r>
      <w:r w:rsidRPr="00CA019E">
        <w:t xml:space="preserve">Profesionālās ievirzes izglītības iestādēs izglītojamiem ir tiesības saņemt kompensāciju 100 % apmērā, kas saistīti ar braucieniem mācību gada laikā no dzīves vietas līdz izglītības iestādei un atpakaļ novada administratīvajā teritorijā, ja tie izmanto sabiedrisko transportu, kas pārvadā pasažierus: </w:t>
      </w:r>
    </w:p>
    <w:p w:rsidR="003046CE" w:rsidRDefault="00FD4563" w:rsidP="003046CE">
      <w:pPr>
        <w:ind w:left="1843" w:hanging="709"/>
        <w:contextualSpacing/>
        <w:jc w:val="both"/>
      </w:pPr>
      <w:r w:rsidRPr="00CA019E">
        <w:t>2.3.1.</w:t>
      </w:r>
      <w:r w:rsidRPr="00CA019E">
        <w:rPr>
          <w:vertAlign w:val="superscript"/>
        </w:rPr>
        <w:t>1</w:t>
      </w:r>
      <w:r w:rsidRPr="00CA019E">
        <w:t xml:space="preserve"> </w:t>
      </w:r>
      <w:r w:rsidRPr="00CA019E">
        <w:tab/>
        <w:t xml:space="preserve">reģionālajā starppilsētu nozīmes maršrutā; </w:t>
      </w:r>
    </w:p>
    <w:p w:rsidR="00FD4563" w:rsidRPr="00CA019E" w:rsidRDefault="00FD4563" w:rsidP="003046CE">
      <w:pPr>
        <w:ind w:left="1843" w:hanging="709"/>
        <w:contextualSpacing/>
        <w:jc w:val="both"/>
      </w:pPr>
      <w:r w:rsidRPr="00CA019E">
        <w:t>2.3.2.</w:t>
      </w:r>
      <w:r w:rsidRPr="00CA019E">
        <w:rPr>
          <w:vertAlign w:val="superscript"/>
        </w:rPr>
        <w:t>1</w:t>
      </w:r>
      <w:r w:rsidRPr="00CA019E">
        <w:t xml:space="preserve"> </w:t>
      </w:r>
      <w:r w:rsidRPr="00CA019E">
        <w:tab/>
        <w:t>reģionālajā vietējās nozīmes maršrutā.”.</w:t>
      </w:r>
    </w:p>
    <w:p w:rsidR="003046CE" w:rsidRDefault="00FD4563" w:rsidP="003046CE">
      <w:pPr>
        <w:numPr>
          <w:ilvl w:val="0"/>
          <w:numId w:val="2"/>
        </w:numPr>
        <w:ind w:left="567" w:hanging="567"/>
        <w:contextualSpacing/>
        <w:jc w:val="both"/>
      </w:pPr>
      <w:r w:rsidRPr="00CA019E">
        <w:lastRenderedPageBreak/>
        <w:t>Aizstāt 3.1.punktā vārdu savienojumu „mācību iestādē” ar vārdu savienojumu „izglītības iestādē”.</w:t>
      </w:r>
    </w:p>
    <w:p w:rsidR="003046CE" w:rsidRDefault="003046CE" w:rsidP="003046CE">
      <w:pPr>
        <w:contextualSpacing/>
      </w:pPr>
    </w:p>
    <w:p w:rsidR="003046CE" w:rsidRDefault="003046CE" w:rsidP="003046CE">
      <w:pPr>
        <w:contextualSpacing/>
      </w:pPr>
    </w:p>
    <w:p w:rsidR="003046CE" w:rsidRPr="00E54A23" w:rsidRDefault="003046CE" w:rsidP="003046CE">
      <w:pPr>
        <w:contextualSpacing/>
      </w:pPr>
    </w:p>
    <w:p w:rsidR="003046CE" w:rsidRPr="00E54A23" w:rsidRDefault="003046CE" w:rsidP="003046CE">
      <w:pPr>
        <w:ind w:right="43"/>
        <w:contextualSpacing/>
        <w:rPr>
          <w:rFonts w:eastAsia="Calibri"/>
        </w:rPr>
      </w:pPr>
      <w:r w:rsidRPr="00E54A23">
        <w:rPr>
          <w:rFonts w:eastAsia="Calibri"/>
        </w:rPr>
        <w:t>Limbažu novada pašvaldības</w:t>
      </w:r>
    </w:p>
    <w:p w:rsidR="003046CE" w:rsidRDefault="003046CE" w:rsidP="003046CE">
      <w:pPr>
        <w:tabs>
          <w:tab w:val="left" w:pos="4678"/>
          <w:tab w:val="left" w:pos="8364"/>
        </w:tabs>
        <w:ind w:right="43"/>
        <w:contextualSpacing/>
        <w:rPr>
          <w:rFonts w:eastAsia="Calibri"/>
        </w:rPr>
      </w:pPr>
      <w:r w:rsidRPr="00E54A23">
        <w:rPr>
          <w:rFonts w:eastAsia="Calibri"/>
        </w:rPr>
        <w:t>Domes priekšsēdētājs</w:t>
      </w:r>
      <w:r w:rsidRPr="00E54A23">
        <w:rPr>
          <w:rFonts w:eastAsia="Calibri"/>
        </w:rPr>
        <w:tab/>
      </w:r>
      <w:r w:rsidRPr="00E54A23">
        <w:rPr>
          <w:rFonts w:eastAsia="Calibri"/>
        </w:rPr>
        <w:tab/>
      </w:r>
      <w:proofErr w:type="spellStart"/>
      <w:r w:rsidRPr="00E54A23">
        <w:rPr>
          <w:rFonts w:eastAsia="Calibri"/>
        </w:rPr>
        <w:t>D.Zemmers</w:t>
      </w:r>
      <w:proofErr w:type="spellEnd"/>
    </w:p>
    <w:p w:rsidR="003046CE" w:rsidRPr="00E54A23" w:rsidRDefault="003046CE" w:rsidP="003046CE">
      <w:pPr>
        <w:tabs>
          <w:tab w:val="left" w:pos="4678"/>
          <w:tab w:val="left" w:pos="8364"/>
        </w:tabs>
        <w:ind w:right="43"/>
        <w:contextualSpacing/>
        <w:rPr>
          <w:rFonts w:eastAsia="Calibri"/>
        </w:rPr>
      </w:pPr>
    </w:p>
    <w:p w:rsidR="00FD4563" w:rsidRPr="00E743CA" w:rsidRDefault="00FD4563" w:rsidP="00FD4563">
      <w:pPr>
        <w:jc w:val="center"/>
        <w:rPr>
          <w:b/>
        </w:rPr>
      </w:pPr>
    </w:p>
    <w:p w:rsidR="00640AA5" w:rsidRPr="00FD4563" w:rsidRDefault="00640AA5" w:rsidP="00FD4563">
      <w:pPr>
        <w:spacing w:after="200" w:line="276" w:lineRule="auto"/>
        <w:rPr>
          <w:b/>
        </w:rPr>
      </w:pPr>
    </w:p>
    <w:sectPr w:rsidR="00640AA5" w:rsidRPr="00FD4563" w:rsidSect="003046CE">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534" w:rsidRDefault="00862534" w:rsidP="009B7955">
      <w:r>
        <w:separator/>
      </w:r>
    </w:p>
  </w:endnote>
  <w:endnote w:type="continuationSeparator" w:id="0">
    <w:p w:rsidR="00862534" w:rsidRDefault="00862534" w:rsidP="009B7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534" w:rsidRDefault="00862534" w:rsidP="009B7955">
      <w:r>
        <w:separator/>
      </w:r>
    </w:p>
  </w:footnote>
  <w:footnote w:type="continuationSeparator" w:id="0">
    <w:p w:rsidR="00862534" w:rsidRDefault="00862534" w:rsidP="009B79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2494133"/>
      <w:docPartObj>
        <w:docPartGallery w:val="Page Numbers (Top of Page)"/>
        <w:docPartUnique/>
      </w:docPartObj>
    </w:sdtPr>
    <w:sdtEndPr/>
    <w:sdtContent>
      <w:p w:rsidR="00CA019E" w:rsidRDefault="00CA019E" w:rsidP="00CA019E">
        <w:pPr>
          <w:pStyle w:val="Galvene"/>
          <w:jc w:val="center"/>
        </w:pPr>
        <w:r>
          <w:fldChar w:fldCharType="begin"/>
        </w:r>
        <w:r>
          <w:instrText>PAGE   \* MERGEFORMAT</w:instrText>
        </w:r>
        <w:r>
          <w:fldChar w:fldCharType="separate"/>
        </w:r>
        <w:r w:rsidR="009B63B8">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955" w:rsidRPr="009B7955" w:rsidRDefault="009B7955">
    <w:pPr>
      <w:pStyle w:val="Galvene"/>
      <w:rPr>
        <w:sz w:val="2"/>
        <w:szCs w:val="2"/>
      </w:rPr>
    </w:pPr>
    <w:r w:rsidRPr="009B7955">
      <w:rPr>
        <w:noProof/>
        <w:sz w:val="2"/>
        <w:szCs w:val="2"/>
      </w:rPr>
      <w:drawing>
        <wp:anchor distT="0" distB="0" distL="114300" distR="114300" simplePos="0" relativeHeight="251659264" behindDoc="1" locked="0" layoutInCell="1" allowOverlap="0" wp14:anchorId="4DB83219" wp14:editId="2E66D461">
          <wp:simplePos x="0" y="0"/>
          <wp:positionH relativeFrom="column">
            <wp:posOffset>-1066800</wp:posOffset>
          </wp:positionH>
          <wp:positionV relativeFrom="paragraph">
            <wp:posOffset>-457835</wp:posOffset>
          </wp:positionV>
          <wp:extent cx="7546340" cy="2329180"/>
          <wp:effectExtent l="0" t="0" r="0" b="0"/>
          <wp:wrapTight wrapText="bothSides">
            <wp:wrapPolygon edited="0">
              <wp:start x="0" y="0"/>
              <wp:lineTo x="0" y="21376"/>
              <wp:lineTo x="21538" y="21376"/>
              <wp:lineTo x="21538"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6340" cy="232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3770C9"/>
    <w:multiLevelType w:val="hybridMultilevel"/>
    <w:tmpl w:val="85741FD4"/>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B2B490D"/>
    <w:multiLevelType w:val="multilevel"/>
    <w:tmpl w:val="B7688274"/>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 w15:restartNumberingAfterBreak="0">
    <w:nsid w:val="32867A11"/>
    <w:multiLevelType w:val="hybridMultilevel"/>
    <w:tmpl w:val="85741FD4"/>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7978465B"/>
    <w:multiLevelType w:val="multilevel"/>
    <w:tmpl w:val="0426001F"/>
    <w:lvl w:ilvl="0">
      <w:start w:val="1"/>
      <w:numFmt w:val="decimal"/>
      <w:lvlText w:val="%1."/>
      <w:lvlJc w:val="left"/>
      <w:pPr>
        <w:ind w:left="360" w:hanging="360"/>
      </w:pPr>
      <w:rPr>
        <w:rFonts w:hint="default"/>
        <w:sz w:val="24"/>
        <w:szCs w:val="24"/>
      </w:r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563"/>
    <w:rsid w:val="00115013"/>
    <w:rsid w:val="003046CE"/>
    <w:rsid w:val="00524C90"/>
    <w:rsid w:val="00640AA5"/>
    <w:rsid w:val="00743A7B"/>
    <w:rsid w:val="00763811"/>
    <w:rsid w:val="007A0A5E"/>
    <w:rsid w:val="00862534"/>
    <w:rsid w:val="009B63B8"/>
    <w:rsid w:val="009B7955"/>
    <w:rsid w:val="00CA019E"/>
    <w:rsid w:val="00EF06D1"/>
    <w:rsid w:val="00FD45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0D683F-C396-4CEF-9414-A0F5CDD5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D4563"/>
    <w:pPr>
      <w:ind w:firstLine="0"/>
      <w:jc w:val="left"/>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FD4563"/>
    <w:pPr>
      <w:ind w:left="720"/>
      <w:contextualSpacing/>
    </w:pPr>
  </w:style>
  <w:style w:type="paragraph" w:styleId="Galvene">
    <w:name w:val="header"/>
    <w:basedOn w:val="Parasts"/>
    <w:link w:val="GalveneRakstz"/>
    <w:uiPriority w:val="99"/>
    <w:unhideWhenUsed/>
    <w:rsid w:val="009B7955"/>
    <w:pPr>
      <w:tabs>
        <w:tab w:val="center" w:pos="4153"/>
        <w:tab w:val="right" w:pos="8306"/>
      </w:tabs>
    </w:pPr>
  </w:style>
  <w:style w:type="character" w:customStyle="1" w:styleId="GalveneRakstz">
    <w:name w:val="Galvene Rakstz."/>
    <w:basedOn w:val="Noklusjumarindkopasfonts"/>
    <w:link w:val="Galvene"/>
    <w:uiPriority w:val="99"/>
    <w:rsid w:val="009B7955"/>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9B7955"/>
    <w:pPr>
      <w:tabs>
        <w:tab w:val="center" w:pos="4153"/>
        <w:tab w:val="right" w:pos="8306"/>
      </w:tabs>
    </w:pPr>
  </w:style>
  <w:style w:type="character" w:customStyle="1" w:styleId="KjeneRakstz">
    <w:name w:val="Kājene Rakstz."/>
    <w:basedOn w:val="Noklusjumarindkopasfonts"/>
    <w:link w:val="Kjene"/>
    <w:uiPriority w:val="99"/>
    <w:rsid w:val="009B7955"/>
    <w:rPr>
      <w:rFonts w:ascii="Times New Roman" w:eastAsia="Times New Roman" w:hAnsi="Times New Roman" w:cs="Times New Roman"/>
      <w:sz w:val="24"/>
      <w:szCs w:val="24"/>
      <w:lang w:eastAsia="lv-LV"/>
    </w:rPr>
  </w:style>
  <w:style w:type="paragraph" w:styleId="Nosaukums">
    <w:name w:val="Title"/>
    <w:basedOn w:val="Parasts"/>
    <w:link w:val="NosaukumsRakstz"/>
    <w:qFormat/>
    <w:rsid w:val="003046CE"/>
    <w:pPr>
      <w:jc w:val="center"/>
    </w:pPr>
    <w:rPr>
      <w:sz w:val="28"/>
      <w:szCs w:val="20"/>
      <w:lang w:eastAsia="en-US"/>
    </w:rPr>
  </w:style>
  <w:style w:type="character" w:customStyle="1" w:styleId="NosaukumsRakstz">
    <w:name w:val="Nosaukums Rakstz."/>
    <w:basedOn w:val="Noklusjumarindkopasfonts"/>
    <w:link w:val="Nosaukums"/>
    <w:rsid w:val="003046CE"/>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4</Pages>
  <Words>3428</Words>
  <Characters>1954</Characters>
  <Application>Microsoft Office Word</Application>
  <DocSecurity>0</DocSecurity>
  <Lines>16</Lines>
  <Paragraphs>10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6</cp:revision>
  <dcterms:created xsi:type="dcterms:W3CDTF">2016-03-30T07:00:00Z</dcterms:created>
  <dcterms:modified xsi:type="dcterms:W3CDTF">2016-04-06T07:54:00Z</dcterms:modified>
</cp:coreProperties>
</file>